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B49C" w14:textId="77777777" w:rsidR="0071083B" w:rsidRDefault="0071083B" w:rsidP="0071083B">
      <w:pPr>
        <w:bidi/>
        <w:rPr>
          <w:b/>
          <w:bCs/>
        </w:rPr>
      </w:pPr>
    </w:p>
    <w:p w14:paraId="6C499990" w14:textId="77777777" w:rsidR="00624EF0" w:rsidRDefault="00624EF0" w:rsidP="0071083B">
      <w:pPr>
        <w:bidi/>
        <w:rPr>
          <w:b/>
          <w:bCs/>
        </w:rPr>
      </w:pPr>
    </w:p>
    <w:p w14:paraId="5E9521CC" w14:textId="77777777" w:rsidR="0071083B" w:rsidRDefault="0071083B" w:rsidP="0071083B">
      <w:pPr>
        <w:bidi/>
        <w:rPr>
          <w:b/>
          <w:bCs/>
        </w:rPr>
      </w:pPr>
      <w:r w:rsidRPr="00060E89">
        <w:rPr>
          <w:b/>
          <w:bCs/>
          <w:rtl/>
          <w:lang w:eastAsia="ar"/>
        </w:rPr>
        <w:t>ملاحظة</w:t>
      </w:r>
      <w:r w:rsidRPr="00060E89">
        <w:rPr>
          <w:rFonts w:ascii="Times New Roman"/>
          <w:b/>
          <w:bCs/>
          <w:rtl/>
          <w:lang w:eastAsia="ar"/>
        </w:rPr>
        <w:t xml:space="preserve">: </w:t>
      </w:r>
    </w:p>
    <w:p w14:paraId="1A3E6BF3" w14:textId="77777777" w:rsidR="0071083B" w:rsidRPr="00C17BC2" w:rsidRDefault="0071083B" w:rsidP="0071083B">
      <w:pPr>
        <w:bidi/>
        <w:rPr>
          <w:b/>
          <w:bCs/>
        </w:rPr>
      </w:pPr>
      <w:r>
        <w:rPr>
          <w:rFonts w:ascii="Times New Roman"/>
          <w:rtl/>
          <w:lang w:eastAsia="ar"/>
        </w:rPr>
        <w:t>1</w:t>
      </w:r>
      <w:r>
        <w:rPr>
          <w:rtl/>
          <w:lang w:eastAsia="ar"/>
        </w:rPr>
        <w:t>/ هذه المصفوفة مُعدّة بغرض الاسترشاد بها فقط،، ولا يجب اعتبارها بمثابة توضيح فعلي لفئات النظام المحددة أو العناصر المعتمدة فيه، مثل الامتثال، والممارسات المعيارية، والتنظيمية، وممارسات الجهة المصنّعة، وأفضل الممارسات</w:t>
      </w:r>
      <w:r>
        <w:rPr>
          <w:rFonts w:ascii="Times New Roman"/>
          <w:rtl/>
          <w:lang w:eastAsia="ar"/>
        </w:rPr>
        <w:t>.</w:t>
      </w:r>
    </w:p>
    <w:p w14:paraId="67BFFEC6" w14:textId="77777777" w:rsidR="0071083B" w:rsidRDefault="0071083B" w:rsidP="0071083B">
      <w:pPr>
        <w:bidi/>
      </w:pPr>
      <w:r w:rsidRPr="00C17BC2">
        <w:rPr>
          <w:rFonts w:ascii="Times New Roman"/>
          <w:rtl/>
          <w:lang w:eastAsia="ar"/>
        </w:rPr>
        <w:t>2</w:t>
      </w:r>
      <w:r w:rsidRPr="00C17BC2">
        <w:rPr>
          <w:rtl/>
          <w:lang w:eastAsia="ar"/>
        </w:rPr>
        <w:t>/ هذه المصفوفة ليست نهائية أو شاملة وتتطلب المزيد من التطوير والتحسين بما يتوافق مع أصول النظام الكهربائي التابع للمرافق</w:t>
      </w:r>
      <w:r w:rsidRPr="00C17BC2">
        <w:rPr>
          <w:rFonts w:ascii="Times New Roman"/>
          <w:rtl/>
          <w:lang w:eastAsia="ar"/>
        </w:rPr>
        <w:t xml:space="preserve">. </w:t>
      </w:r>
    </w:p>
    <w:p w14:paraId="4B9DE64B" w14:textId="77777777" w:rsidR="0071083B" w:rsidRPr="00C17BC2" w:rsidRDefault="0071083B" w:rsidP="0071083B">
      <w:pPr>
        <w:bidi/>
      </w:pPr>
    </w:p>
    <w:tbl>
      <w:tblPr>
        <w:tblStyle w:val="TableGrid"/>
        <w:bidiVisual/>
        <w:tblW w:w="20975" w:type="dxa"/>
        <w:tblLayout w:type="fixed"/>
        <w:tblLook w:val="04A0" w:firstRow="1" w:lastRow="0" w:firstColumn="1" w:lastColumn="0" w:noHBand="0" w:noVBand="1"/>
      </w:tblPr>
      <w:tblGrid>
        <w:gridCol w:w="2205"/>
        <w:gridCol w:w="2406"/>
        <w:gridCol w:w="2586"/>
        <w:gridCol w:w="1355"/>
        <w:gridCol w:w="1415"/>
        <w:gridCol w:w="1677"/>
        <w:gridCol w:w="1428"/>
        <w:gridCol w:w="1521"/>
        <w:gridCol w:w="1863"/>
        <w:gridCol w:w="1641"/>
        <w:gridCol w:w="2878"/>
      </w:tblGrid>
      <w:tr w:rsidR="00A24752" w14:paraId="6264CB43" w14:textId="77777777" w:rsidTr="001170B8">
        <w:trPr>
          <w:trHeight w:val="312"/>
        </w:trPr>
        <w:tc>
          <w:tcPr>
            <w:tcW w:w="719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0398A876" w14:textId="77777777" w:rsidR="00A24752" w:rsidRPr="009A256D" w:rsidRDefault="00A24752" w:rsidP="00F3094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 xml:space="preserve">التعريف </w:t>
            </w:r>
          </w:p>
        </w:tc>
        <w:tc>
          <w:tcPr>
            <w:tcW w:w="27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128368D9" w14:textId="77777777" w:rsidR="00A24752" w:rsidRPr="009A256D" w:rsidRDefault="00A24752" w:rsidP="00F3094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565A063A" w14:textId="77777777" w:rsidR="00A24752" w:rsidRPr="009A256D" w:rsidRDefault="00A24752" w:rsidP="00F3094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24752">
              <w:rPr>
                <w:b/>
                <w:bCs/>
                <w:sz w:val="28"/>
                <w:szCs w:val="28"/>
                <w:rtl/>
                <w:lang w:eastAsia="ar"/>
              </w:rPr>
              <w:t>نوع الصيانة الوقائية المخطط لها المُدرجة في الخطة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56ADBE27" w14:textId="77777777" w:rsidR="00A24752" w:rsidRPr="009A256D" w:rsidRDefault="00A24752" w:rsidP="00F3094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A256D">
              <w:rPr>
                <w:b/>
                <w:bCs/>
                <w:sz w:val="28"/>
                <w:szCs w:val="28"/>
                <w:rtl/>
                <w:lang w:eastAsia="ar"/>
              </w:rPr>
              <w:t>ممتثل لـ</w:t>
            </w:r>
            <w:r w:rsidRPr="009A256D">
              <w:rPr>
                <w:rFonts w:ascii="Times New Roman"/>
                <w:b/>
                <w:bCs/>
                <w:sz w:val="28"/>
                <w:szCs w:val="28"/>
                <w:rtl/>
                <w:lang w:eastAsia="ar"/>
              </w:rPr>
              <w:t>:</w:t>
            </w:r>
          </w:p>
        </w:tc>
      </w:tr>
      <w:tr w:rsidR="00A24752" w14:paraId="195D845D" w14:textId="77777777" w:rsidTr="001170B8">
        <w:trPr>
          <w:trHeight w:val="312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FD6B529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AF0CE57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النظام الفرعي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0328E7C1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المعدات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534F8C3D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ضرورية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DC3D1B0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غير ضرورية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C500908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الامتثال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577454F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معياريّة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BAAB387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>تنظيمية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EB614FE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الجهة المصنّعة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4A500AAC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 w:rsidRPr="009A256D">
              <w:rPr>
                <w:b/>
                <w:bCs/>
                <w:rtl/>
                <w:lang w:eastAsia="ar"/>
              </w:rPr>
              <w:t xml:space="preserve">أفضل الممارسات 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7BB63D60" w14:textId="77777777" w:rsidR="00A24752" w:rsidRPr="009A256D" w:rsidRDefault="00A24752" w:rsidP="00A24752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المملكة العربية السعودية </w:t>
            </w:r>
            <w:r>
              <w:rPr>
                <w:rFonts w:ascii="Times New Roman"/>
                <w:b/>
                <w:bCs/>
                <w:rtl/>
                <w:lang w:eastAsia="ar"/>
              </w:rPr>
              <w:t xml:space="preserve">/ </w:t>
            </w:r>
            <w:r>
              <w:rPr>
                <w:b/>
                <w:bCs/>
                <w:rtl/>
                <w:lang w:eastAsia="ar"/>
              </w:rPr>
              <w:t xml:space="preserve">الجمعية الوطنية لمكافحة الحرائق </w:t>
            </w:r>
            <w:r>
              <w:rPr>
                <w:rFonts w:ascii="Times New Roman"/>
                <w:b/>
                <w:bCs/>
                <w:rtl/>
                <w:lang w:eastAsia="ar"/>
              </w:rPr>
              <w:t xml:space="preserve">/ </w:t>
            </w:r>
            <w:r>
              <w:rPr>
                <w:b/>
                <w:bCs/>
                <w:rtl/>
                <w:lang w:eastAsia="ar"/>
              </w:rPr>
              <w:t xml:space="preserve">المذكرة التقنية الصحية إلخ </w:t>
            </w:r>
          </w:p>
        </w:tc>
      </w:tr>
      <w:tr w:rsidR="00A24752" w14:paraId="5B422DB9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B9A42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الجهد المتوسط 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9B1D6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8531A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91005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86828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0A64A" w14:textId="77777777" w:rsidR="00A24752" w:rsidRDefault="00A24752" w:rsidP="00A24752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843F7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447D4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4557A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FEB68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4366D690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A24752" w14:paraId="504CC22C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10320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B234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E249F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زيت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FB64A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0F625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FCB4B" w14:textId="77777777" w:rsidR="00A24752" w:rsidRDefault="00A24752" w:rsidP="00A24752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704FE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74AC8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CB193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522DA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5526E5DA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A24752" w14:paraId="1723A3D2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1F3FE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213A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محوّل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9929F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التأريض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AD4D2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36E2E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6B825" w14:textId="77777777" w:rsidR="00A24752" w:rsidRDefault="00A24752" w:rsidP="00A24752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350B1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437B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8B3D3" w14:textId="77777777" w:rsidR="00A24752" w:rsidRDefault="00A24752" w:rsidP="00A24752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7A674" w14:textId="77777777" w:rsidR="00A24752" w:rsidRDefault="00A24752" w:rsidP="00A24752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73C99345" w14:textId="77777777" w:rsidR="00A24752" w:rsidRPr="009E15F6" w:rsidRDefault="00A24752" w:rsidP="00A24752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2B44AAD2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07C8A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جهد منخفض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69E6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71728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0F2E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333A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3C46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22284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32109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70C25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9B1EB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4DBB7357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45000085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A0871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29BD7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130D7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B889C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4C714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60E39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C973F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30D2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C4CA9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5D1C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1CFD85BA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2E6C295C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0C0E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4A4B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11CE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قواطع الدارة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E00B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E3490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3481D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2452B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46B2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F5332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7561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95EA1A6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6D3AD1EB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B6FEA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10E0B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لوحة التوزيع الرئيسية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4920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قاطع الدارة الكهربية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26B03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0177A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15E70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0D49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87FE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F4244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E0EE2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503DC852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0BD695E9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4264D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E0A40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SMFP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C0E8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5D2EA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E9499A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976AF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AD3F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29400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4CC13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5A2FD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75BA6C38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32F85636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1BEF8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81A31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SMFP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21AB6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8EDF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80123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08CEF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B71FC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9D1F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8A087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334F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98373A5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5559277A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02437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A409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SMFP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C2523" w14:textId="481ACF8B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حوامل سلك المصهر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99279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4EEDF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C9C5B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72381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9DA8B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1AF5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02980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74B4C0E6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70C2C4C0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C6356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BC94A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SMFP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5D6B3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القواطع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A816D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3D16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4DC45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31A7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B5632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68584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D127C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EFB10DD" w14:textId="77777777" w:rsidR="00C60687" w:rsidRPr="009E15F6" w:rsidRDefault="00C60687" w:rsidP="00C60687">
            <w:pPr>
              <w:bidi/>
              <w:rPr>
                <w:b/>
                <w:bCs/>
                <w:sz w:val="18"/>
                <w:szCs w:val="18"/>
              </w:rPr>
            </w:pPr>
            <w:r w:rsidRPr="00C60687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09A08CB7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2EB1D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2B0F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DFP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CEB0D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1FEFA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FB1EF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9F3FE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22CC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C3EB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E87FD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3C469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66F2BF4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1F02ADCF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095E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B4086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DFP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74BB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183A0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3758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0A52C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D367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F56E3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50C44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489AE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3B2D78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0E04B43E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2A348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EED20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DFP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BDB04" w14:textId="3075991E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حوامل سلك المصهر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DDBA1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F8BA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D492E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D3671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E408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E4CB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1F8F3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0984E68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795C81D4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3546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2314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DFP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DA0AA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القواطع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970E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D0AE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860F0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BBE5D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2D432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356E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9ECD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34DF6618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4DB1A46B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D9D6C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D185D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أعمدة إنارة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CA9C9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 xml:space="preserve">كابلات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A638E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FA08C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F1A4D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0C04E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E635A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64692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DFE7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2EC81A9C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745C6020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D7D3B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0A8A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أعمدة إنارة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31C43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FFECB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EA463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5405C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2CD7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0D8A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4154B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1D8E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46CAFD18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478666F1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0A6BC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93E8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أعمدة إنارة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1B9A2" w14:textId="0012C852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 xml:space="preserve">حوامل سلك المصهر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B52D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F5FDE3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9CA00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7485A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F8354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E172B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B849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549A88FE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205B15CF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81042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46C40" w14:textId="77777777" w:rsidR="00C60687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أعمدة إنارة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99689" w14:textId="77777777" w:rsidR="00C60687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مصابيح أمامية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0E3F4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5EDD9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24804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1A568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36C7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4B100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72770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67A0D6BE" w14:textId="77777777" w:rsidR="00C60687" w:rsidRPr="009E15F6" w:rsidRDefault="00C60687" w:rsidP="00C60687">
            <w:pPr>
              <w:bidi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4E604596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0776B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" w:bidi="en-US"/>
              </w:rPr>
              <w:t>ELV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2402D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خزائن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4E54D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كابلات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D847B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01D6D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5C805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75789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5F605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BC9B9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6A8FB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008D78C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1A6342EC" w14:textId="77777777" w:rsidTr="001170B8">
        <w:trPr>
          <w:cantSplit/>
          <w:trHeight w:hRule="exact" w:val="307"/>
        </w:trPr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A61A9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1715A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خزائن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6652F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التأريض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48D99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8F20A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A19BD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A32A9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676C7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9406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67B06" w14:textId="77777777" w:rsidR="00C60687" w:rsidRDefault="00C60687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38EA9502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9E15F6">
              <w:rPr>
                <w:b/>
                <w:bCs/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  <w:tr w:rsidR="00C60687" w14:paraId="0AA5A143" w14:textId="77777777" w:rsidTr="00EE066F">
        <w:trPr>
          <w:cantSplit/>
          <w:trHeight w:hRule="exact" w:val="204"/>
        </w:trPr>
        <w:tc>
          <w:tcPr>
            <w:tcW w:w="22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B1F5D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F2580" w14:textId="436B2261" w:rsidR="00C60687" w:rsidRPr="009E15F6" w:rsidRDefault="00846E3A" w:rsidP="00C60687">
            <w:pPr>
              <w:bidi/>
              <w:rPr>
                <w:sz w:val="18"/>
                <w:szCs w:val="18"/>
              </w:rPr>
            </w:pPr>
            <w:r w:rsidRPr="00846E3A">
              <w:rPr>
                <w:sz w:val="18"/>
                <w:szCs w:val="18"/>
                <w:rtl/>
                <w:lang w:eastAsia="ar"/>
              </w:rPr>
              <w:t>خزائن</w:t>
            </w:r>
            <w:r w:rsidR="000313FE">
              <w:rPr>
                <w:rFonts w:ascii="Times New Roman"/>
                <w:sz w:val="18"/>
                <w:szCs w:val="18"/>
                <w:lang w:eastAsia="ar"/>
              </w:rPr>
              <w:t xml:space="preserve"> </w:t>
            </w:r>
            <w:r w:rsidRPr="00846E3A">
              <w:rPr>
                <w:sz w:val="18"/>
                <w:szCs w:val="18"/>
                <w:rtl/>
                <w:lang w:eastAsia="ar"/>
              </w:rPr>
              <w:t>قواطع الدارة</w:t>
            </w:r>
            <w:r w:rsidRPr="00846E3A"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 w:rsidRPr="00846E3A"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 w:rsidRPr="00846E3A">
              <w:rPr>
                <w:sz w:val="18"/>
                <w:szCs w:val="18"/>
                <w:rtl/>
                <w:lang w:eastAsia="ar"/>
              </w:rPr>
              <w:tab/>
            </w:r>
            <w:r w:rsidRPr="00846E3A"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 w:rsidRPr="00846E3A">
              <w:rPr>
                <w:sz w:val="18"/>
                <w:szCs w:val="18"/>
                <w:lang w:eastAsia="ar" w:bidi="en-US"/>
              </w:rPr>
              <w:t>X</w:t>
            </w:r>
            <w:r w:rsidRPr="00846E3A"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 w:rsidRPr="00846E3A">
              <w:rPr>
                <w:sz w:val="18"/>
                <w:szCs w:val="18"/>
                <w:lang w:eastAsia="ar" w:bidi="en-US"/>
              </w:rPr>
              <w:t>X</w:t>
            </w:r>
            <w:r w:rsidRPr="00846E3A"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 w:rsidRPr="00846E3A">
              <w:rPr>
                <w:sz w:val="18"/>
                <w:szCs w:val="18"/>
                <w:lang w:eastAsia="ar" w:bidi="en-US"/>
              </w:rPr>
              <w:t>X</w:t>
            </w:r>
            <w:r w:rsidRPr="00846E3A"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 w:rsidRPr="00846E3A">
              <w:rPr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E7CEF" w14:textId="77777777" w:rsidR="00C60687" w:rsidRPr="009E15F6" w:rsidRDefault="00846E3A" w:rsidP="00C60687">
            <w:pPr>
              <w:bidi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قواطع الدارة</w:t>
            </w:r>
            <w:r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>
              <w:rPr>
                <w:sz w:val="18"/>
                <w:szCs w:val="18"/>
                <w:rtl/>
                <w:lang w:eastAsia="ar"/>
              </w:rPr>
              <w:tab/>
            </w:r>
            <w:r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>
              <w:rPr>
                <w:sz w:val="18"/>
                <w:szCs w:val="18"/>
                <w:rtl/>
                <w:lang w:eastAsia="ar"/>
              </w:rPr>
              <w:tab/>
            </w:r>
            <w:r>
              <w:rPr>
                <w:sz w:val="18"/>
                <w:szCs w:val="18"/>
                <w:lang w:eastAsia="ar" w:bidi="en-US"/>
              </w:rPr>
              <w:t>X</w:t>
            </w:r>
            <w:r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>
              <w:rPr>
                <w:sz w:val="18"/>
                <w:szCs w:val="18"/>
                <w:lang w:eastAsia="ar" w:bidi="en-US"/>
              </w:rPr>
              <w:t>X</w:t>
            </w:r>
            <w:r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>
              <w:rPr>
                <w:sz w:val="18"/>
                <w:szCs w:val="18"/>
                <w:lang w:eastAsia="ar" w:bidi="en-US"/>
              </w:rPr>
              <w:t>X</w:t>
            </w:r>
            <w:r>
              <w:rPr>
                <w:rFonts w:ascii="Times New Roman"/>
                <w:sz w:val="18"/>
                <w:szCs w:val="18"/>
                <w:rtl/>
                <w:lang w:eastAsia="ar"/>
              </w:rPr>
              <w:tab/>
            </w:r>
            <w:r>
              <w:rPr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BCA12" w14:textId="77777777" w:rsidR="00C60687" w:rsidRDefault="00846E3A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3E7F0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59C08" w14:textId="77777777" w:rsidR="00C60687" w:rsidRDefault="00C60687" w:rsidP="00C60687">
            <w:pPr>
              <w:bidi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FC171" w14:textId="77777777" w:rsidR="00C60687" w:rsidRDefault="00846E3A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CBA0F" w14:textId="77777777" w:rsidR="00C60687" w:rsidRDefault="00846E3A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A9928" w14:textId="77777777" w:rsidR="00C60687" w:rsidRDefault="00846E3A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2725A" w14:textId="77777777" w:rsidR="00C60687" w:rsidRDefault="00846E3A" w:rsidP="00C60687">
            <w:pPr>
              <w:bidi/>
              <w:jc w:val="center"/>
            </w:pPr>
            <w:r>
              <w:rPr>
                <w:lang w:eastAsia="ar" w:bidi="en-US"/>
              </w:rPr>
              <w:t>X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1EE9CE8C" w14:textId="77777777" w:rsidR="00C60687" w:rsidRPr="009E15F6" w:rsidRDefault="00C60687" w:rsidP="00C60687">
            <w:pPr>
              <w:bidi/>
              <w:rPr>
                <w:sz w:val="18"/>
                <w:szCs w:val="18"/>
              </w:rPr>
            </w:pPr>
            <w:r w:rsidRPr="00C60687">
              <w:rPr>
                <w:sz w:val="18"/>
                <w:szCs w:val="18"/>
                <w:rtl/>
                <w:lang w:eastAsia="ar"/>
              </w:rPr>
              <w:t>الجمعية الوطنية لمكافحة الحرائق</w:t>
            </w:r>
          </w:p>
        </w:tc>
      </w:tr>
    </w:tbl>
    <w:p w14:paraId="0F2836FF" w14:textId="77777777" w:rsidR="00701999" w:rsidRDefault="00701999" w:rsidP="001170B8">
      <w:pPr>
        <w:tabs>
          <w:tab w:val="left" w:pos="10180"/>
        </w:tabs>
        <w:bidi/>
        <w:jc w:val="center"/>
      </w:pPr>
    </w:p>
    <w:sectPr w:rsidR="00701999" w:rsidSect="00710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A702" w14:textId="77777777" w:rsidR="001B60C5" w:rsidRDefault="001B60C5" w:rsidP="00BD4FBF">
      <w:r>
        <w:separator/>
      </w:r>
    </w:p>
  </w:endnote>
  <w:endnote w:type="continuationSeparator" w:id="0">
    <w:p w14:paraId="1C289142" w14:textId="77777777" w:rsidR="001B60C5" w:rsidRDefault="001B60C5" w:rsidP="00B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1FFE" w14:textId="77777777" w:rsidR="00BD7AD5" w:rsidRDefault="00BD7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EA32" w14:textId="2D0122F7" w:rsidR="001170B8" w:rsidRDefault="000814FF" w:rsidP="000814FF">
    <w:pPr>
      <w:tabs>
        <w:tab w:val="right" w:pos="9360"/>
      </w:tabs>
      <w:bidi/>
      <w:jc w:val="left"/>
      <w:rPr>
        <w:rFonts w:asciiTheme="minorHAnsi" w:eastAsiaTheme="minorHAnsi" w:hAnsiTheme="minorHAnsi" w:cstheme="minorBidi"/>
        <w:sz w:val="16"/>
        <w:szCs w:val="16"/>
      </w:rPr>
    </w:pPr>
    <w:r w:rsidRPr="000814FF">
      <w:rPr>
        <w:rFonts w:eastAsiaTheme="minorHAnsi" w:hAnsiTheme="minorHAnsi" w:cstheme="minorBidi"/>
        <w:sz w:val="16"/>
        <w:szCs w:val="16"/>
        <w:lang w:eastAsia="ar"/>
      </w:rPr>
      <w:t>EOM-ZM0-TP-000048</w:t>
    </w:r>
    <w:r w:rsidR="00BD7AD5">
      <w:rPr>
        <w:rFonts w:eastAsiaTheme="minorHAnsi" w:hAnsiTheme="minorHAnsi" w:cstheme="minorBidi"/>
        <w:sz w:val="16"/>
        <w:szCs w:val="16"/>
        <w:lang w:eastAsia="ar"/>
      </w:rPr>
      <w:t>-AR</w:t>
    </w:r>
    <w:r>
      <w:rPr>
        <w:rFonts w:eastAsiaTheme="minorHAnsi" w:hAnsiTheme="minorHAnsi" w:cstheme="minorBidi"/>
        <w:sz w:val="16"/>
        <w:szCs w:val="16"/>
        <w:lang w:eastAsia="ar"/>
      </w:rPr>
      <w:t xml:space="preserve"> Rev 000</w:t>
    </w:r>
    <w:r w:rsidR="001170B8">
      <w:rPr>
        <w:rFonts w:eastAsiaTheme="minorHAnsi" w:hAnsiTheme="minorHAnsi" w:cstheme="minorBidi"/>
        <w:sz w:val="16"/>
        <w:szCs w:val="16"/>
        <w:rtl/>
        <w:lang w:eastAsia="ar"/>
      </w:rPr>
      <w:t xml:space="preserve">                                                                                                                                                                                      </w:t>
    </w:r>
    <w:r w:rsidR="001170B8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t xml:space="preserve">المستوى </w:t>
    </w:r>
    <w:r w:rsidR="001170B8">
      <w:rPr>
        <w:rFonts w:eastAsiaTheme="minorHAnsi" w:hAnsiTheme="minorHAnsi" w:cstheme="minorBidi"/>
        <w:b/>
        <w:bCs/>
        <w:sz w:val="16"/>
        <w:szCs w:val="16"/>
        <w:rtl/>
        <w:lang w:eastAsia="ar"/>
      </w:rPr>
      <w:t xml:space="preserve">- </w:t>
    </w:r>
    <w:sdt>
      <w:sdtPr>
        <w:rPr>
          <w:rFonts w:eastAsiaTheme="minorHAnsi" w:hAnsiTheme="minorHAnsi" w:cstheme="minorBidi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1170B8">
          <w:rPr>
            <w:rFonts w:eastAsiaTheme="minorHAnsi" w:hAnsiTheme="minorHAnsi" w:cstheme="minorBidi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1170B8">
      <w:rPr>
        <w:rFonts w:eastAsiaTheme="minorHAnsi" w:hAnsiTheme="minorHAnsi" w:cstheme="minorBidi"/>
        <w:sz w:val="16"/>
        <w:szCs w:val="16"/>
        <w:rtl/>
        <w:lang w:eastAsia="a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170B8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         الصفحة </w:t>
    </w:r>
    <w:r w:rsidR="001170B8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begin"/>
    </w:r>
    <w:r w:rsidR="001170B8" w:rsidRPr="00454D4B">
      <w:rPr>
        <w:rFonts w:eastAsiaTheme="minorHAnsi" w:hAnsiTheme="minorHAnsi" w:cstheme="minorBidi"/>
        <w:b/>
        <w:bCs/>
        <w:sz w:val="16"/>
        <w:szCs w:val="16"/>
        <w:rtl/>
        <w:lang w:eastAsia="ar"/>
      </w:rPr>
      <w:instrText xml:space="preserve"> PAGE </w:instrText>
    </w:r>
    <w:r w:rsidR="001170B8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separate"/>
    </w:r>
    <w:r>
      <w:rPr>
        <w:rFonts w:eastAsiaTheme="minorHAnsi" w:hAnsiTheme="minorHAnsi" w:cstheme="minorBidi"/>
        <w:b/>
        <w:bCs/>
        <w:noProof/>
        <w:sz w:val="16"/>
        <w:szCs w:val="16"/>
        <w:rtl/>
        <w:lang w:eastAsia="ar"/>
      </w:rPr>
      <w:t>1</w:t>
    </w:r>
    <w:r w:rsidR="001170B8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end"/>
    </w:r>
    <w:r w:rsidR="001170B8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من </w:t>
    </w:r>
    <w:r w:rsidR="001170B8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begin"/>
    </w:r>
    <w:r w:rsidR="001170B8" w:rsidRPr="00454D4B">
      <w:rPr>
        <w:rFonts w:eastAsiaTheme="minorHAnsi" w:hAnsiTheme="minorHAnsi" w:cstheme="minorBidi"/>
        <w:b/>
        <w:bCs/>
        <w:sz w:val="16"/>
        <w:szCs w:val="16"/>
        <w:rtl/>
        <w:lang w:eastAsia="ar"/>
      </w:rPr>
      <w:instrText xml:space="preserve"> NUMPAGES  </w:instrText>
    </w:r>
    <w:r w:rsidR="001170B8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separate"/>
    </w:r>
    <w:r>
      <w:rPr>
        <w:rFonts w:eastAsiaTheme="minorHAnsi" w:hAnsiTheme="minorHAnsi" w:cstheme="minorBidi"/>
        <w:b/>
        <w:bCs/>
        <w:noProof/>
        <w:sz w:val="16"/>
        <w:szCs w:val="16"/>
        <w:rtl/>
        <w:lang w:eastAsia="ar"/>
      </w:rPr>
      <w:t>1</w:t>
    </w:r>
    <w:r w:rsidR="001170B8"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end"/>
    </w:r>
  </w:p>
  <w:p w14:paraId="7F482D91" w14:textId="77777777" w:rsidR="001170B8" w:rsidRPr="00454D4B" w:rsidRDefault="001170B8" w:rsidP="001170B8">
    <w:pPr>
      <w:tabs>
        <w:tab w:val="center" w:pos="4680"/>
        <w:tab w:val="right" w:pos="9360"/>
      </w:tabs>
      <w:bidi/>
      <w:ind w:firstLine="2977"/>
      <w:jc w:val="center"/>
      <w:rPr>
        <w:rFonts w:asciiTheme="minorHAnsi" w:eastAsiaTheme="minorHAnsi" w:hAnsiTheme="minorHAnsi" w:cstheme="minorBidi"/>
        <w:sz w:val="16"/>
        <w:szCs w:val="16"/>
      </w:rPr>
    </w:pP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متقادمة</w:t>
    </w:r>
    <w:r w:rsidRPr="00454D4B">
      <w:rPr>
        <w:rFonts w:eastAsiaTheme="minorHAnsi" w:hAnsiTheme="minorHAnsi" w:cstheme="minorBidi"/>
        <w:sz w:val="16"/>
        <w:szCs w:val="16"/>
        <w:rtl/>
        <w:lang w:eastAsia="ar"/>
      </w:rPr>
      <w:t xml:space="preserve">. </w:t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>لذا يُرجى الرجوع إلى نظام إدارة المحتوى المؤسسي الحالي للاطلاع على النسخة الحالية</w:t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ptab w:relativeTo="margin" w:alignment="right" w:leader="none"/>
    </w:r>
  </w:p>
  <w:p w14:paraId="0F0916BB" w14:textId="77777777" w:rsidR="001170B8" w:rsidRDefault="001170B8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7D5" w14:textId="77777777" w:rsidR="00BD7AD5" w:rsidRDefault="00BD7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9B1E" w14:textId="77777777" w:rsidR="001B60C5" w:rsidRDefault="001B60C5" w:rsidP="00BD4FBF">
      <w:r>
        <w:separator/>
      </w:r>
    </w:p>
  </w:footnote>
  <w:footnote w:type="continuationSeparator" w:id="0">
    <w:p w14:paraId="4BE9A5D6" w14:textId="77777777" w:rsidR="001B60C5" w:rsidRDefault="001B60C5" w:rsidP="00BD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9116" w14:textId="77777777" w:rsidR="00BD7AD5" w:rsidRDefault="00BD7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B76" w14:textId="77777777" w:rsidR="00BD2D18" w:rsidRPr="00FB7662" w:rsidRDefault="00FB7662" w:rsidP="001170B8">
    <w:pPr>
      <w:pStyle w:val="Header"/>
      <w:bidi/>
      <w:jc w:val="center"/>
      <w:rPr>
        <w:rFonts w:ascii="FS Albert Arabic" w:hAnsi="FS Albert Arabic" w:cs="FS Albert Arabic"/>
        <w:b/>
        <w:sz w:val="24"/>
        <w:szCs w:val="24"/>
      </w:rPr>
    </w:pPr>
    <w:r w:rsidRPr="00FB7662">
      <w:rPr>
        <w:rFonts w:ascii="FS Albert Arabic" w:hAnsi="FS Albert Arabic" w:cs="FS Albert Arabic"/>
        <w:noProof/>
        <w:lang w:eastAsia="en-US"/>
      </w:rPr>
      <w:drawing>
        <wp:anchor distT="0" distB="0" distL="114300" distR="114300" simplePos="0" relativeHeight="251659264" behindDoc="0" locked="0" layoutInCell="1" allowOverlap="1" wp14:anchorId="12EFB898" wp14:editId="118958B1">
          <wp:simplePos x="0" y="0"/>
          <wp:positionH relativeFrom="leftMargin">
            <wp:posOffset>380365</wp:posOffset>
          </wp:positionH>
          <wp:positionV relativeFrom="paragraph">
            <wp:posOffset>-219710</wp:posOffset>
          </wp:positionV>
          <wp:extent cx="547370" cy="610235"/>
          <wp:effectExtent l="0" t="0" r="0" b="0"/>
          <wp:wrapSquare wrapText="bothSides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0B8" w:rsidRPr="00FB7662">
      <w:rPr>
        <w:rFonts w:ascii="FS Albert Arabic" w:hAnsi="FS Albert Arabic" w:cs="FS Albert Arabic"/>
        <w:b/>
        <w:bCs/>
        <w:sz w:val="24"/>
        <w:szCs w:val="24"/>
        <w:rtl/>
        <w:lang w:eastAsia="ar"/>
      </w:rPr>
      <w:t xml:space="preserve">نموذج مصفوفة الامتثال لنوع الصيانة الوقائية للنظام الكهربائي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5F12" w14:textId="77777777" w:rsidR="00BD7AD5" w:rsidRDefault="00BD7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3B"/>
    <w:rsid w:val="000313FE"/>
    <w:rsid w:val="000814FF"/>
    <w:rsid w:val="00110D63"/>
    <w:rsid w:val="001170B8"/>
    <w:rsid w:val="001B60C5"/>
    <w:rsid w:val="00317085"/>
    <w:rsid w:val="003C3CE9"/>
    <w:rsid w:val="00447613"/>
    <w:rsid w:val="005A0705"/>
    <w:rsid w:val="00610B7F"/>
    <w:rsid w:val="00624EF0"/>
    <w:rsid w:val="006A6CF2"/>
    <w:rsid w:val="00701999"/>
    <w:rsid w:val="0071083B"/>
    <w:rsid w:val="007A13DE"/>
    <w:rsid w:val="00846E3A"/>
    <w:rsid w:val="00887C1C"/>
    <w:rsid w:val="00A24752"/>
    <w:rsid w:val="00AF77CC"/>
    <w:rsid w:val="00BD2D18"/>
    <w:rsid w:val="00BD4FBF"/>
    <w:rsid w:val="00BD7AD5"/>
    <w:rsid w:val="00C60687"/>
    <w:rsid w:val="00C67F96"/>
    <w:rsid w:val="00CE4E93"/>
    <w:rsid w:val="00D0444A"/>
    <w:rsid w:val="00D137CF"/>
    <w:rsid w:val="00D3346B"/>
    <w:rsid w:val="00E768B5"/>
    <w:rsid w:val="00EE066F"/>
    <w:rsid w:val="00F67E8C"/>
    <w:rsid w:val="00F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2FBE3"/>
  <w15:chartTrackingRefBased/>
  <w15:docId w15:val="{3298C2FD-414C-4566-B9AE-566B621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1083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71083B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Doha Char"/>
    <w:basedOn w:val="DefaultParagraphFont"/>
    <w:link w:val="Heading2"/>
    <w:rsid w:val="0071083B"/>
    <w:rPr>
      <w:rFonts w:ascii="Arial Bold" w:eastAsia="Times New Roman" w:hAnsi="Arial Bold" w:cs="Arial"/>
      <w:b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7108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TextNumber">
    <w:name w:val="1. Body Text Number"/>
    <w:basedOn w:val="ListParagraph"/>
    <w:link w:val="1BodyTextNumberChar"/>
    <w:qFormat/>
    <w:rsid w:val="0071083B"/>
    <w:pPr>
      <w:numPr>
        <w:numId w:val="1"/>
      </w:numPr>
      <w:contextualSpacing w:val="0"/>
    </w:pPr>
  </w:style>
  <w:style w:type="character" w:customStyle="1" w:styleId="1BodyTextNumberChar">
    <w:name w:val="1. Body Text Number Char"/>
    <w:basedOn w:val="DefaultParagraphFont"/>
    <w:link w:val="1BodyTextNumber"/>
    <w:rsid w:val="0071083B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10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FBF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4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FBF"/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BD4F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EOM-ZM0-PL-000053</dc:subject>
  <dc:creator>Young, Fergus</dc:creator>
  <cp:keywords/>
  <dc:description/>
  <cp:lastModifiedBy>جانسيل سالدانا  Jancil Saldhana</cp:lastModifiedBy>
  <cp:revision>11</cp:revision>
  <dcterms:created xsi:type="dcterms:W3CDTF">2020-02-02T06:45:00Z</dcterms:created>
  <dcterms:modified xsi:type="dcterms:W3CDTF">2021-12-22T07:24:00Z</dcterms:modified>
</cp:coreProperties>
</file>